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907c6eril8if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-5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67"/>
        <w:gridCol w:w="851"/>
        <w:gridCol w:w="3827"/>
        <w:gridCol w:w="992"/>
        <w:gridCol w:w="993"/>
        <w:gridCol w:w="1275"/>
        <w:gridCol w:w="1418"/>
        <w:tblGridChange w:id="0">
          <w:tblGrid>
            <w:gridCol w:w="567"/>
            <w:gridCol w:w="851"/>
            <w:gridCol w:w="3827"/>
            <w:gridCol w:w="992"/>
            <w:gridCol w:w="993"/>
            <w:gridCol w:w="1275"/>
            <w:gridCol w:w="1418"/>
          </w:tblGrid>
        </w:tblGridChange>
      </w:tblGrid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Participação geral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Grupo 1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4" w:val="single"/>
              <w:right w:color="000000" w:space="0" w:sz="4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Benefícios LC 123/2066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d9f2d0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Sim ( )                  Não (  )</w:t>
            </w:r>
          </w:p>
        </w:tc>
      </w:tr>
      <w:tr>
        <w:trPr>
          <w:cantSplit w:val="1"/>
          <w:trHeight w:val="58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ind w:left="113" w:right="113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CATSER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Quantidade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Un. Medida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1"/>
          <w:trHeight w:val="903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150345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Solução de controle centralizado de rede sem fio, tipo appliance, com redundância (Fornecimento de 2 controladores) e garantia de 60 meses e serviço de Instalação e configuração, conforme especificação técnica constante neste Termo de referência</w:t>
            </w:r>
          </w:p>
        </w:tc>
        <w:tc>
          <w:tcPr>
            <w:tcBorders>
              <w:top w:color="cccccc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393277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Ponto de acesso sem fio gerenciável, do mesmo fabricante e compatível com o Item 1 e garantia de 60 meses.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426731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Injetor PoE IEEE 803.at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27090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Serviço de Site Survey, conforme especificação técnica constante neste Termo de Referência.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16837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Treinamento Hands-on online (16 horas) para até 05 (cinco) pessoas, com repasse de conhecimento na operação e administração dos equipamentos da marca/modelo fornecidos.</w:t>
            </w:r>
          </w:p>
          <w:p w:rsidR="00000000" w:rsidDel="00000000" w:rsidP="00000000" w:rsidRDefault="00000000" w:rsidRPr="00000000" w14:paraId="00000044">
            <w:pPr>
              <w:widowControl w:val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R$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5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VALOR GLOBAL DO GRUPO XX</w:t>
            </w:r>
          </w:p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(considera-se como global o somatório dos preços totais de cada item que compõe este grupo)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f2d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 de 20___.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7D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7E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7F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</w:t>
    </w:r>
    <w:r w:rsidDel="00000000" w:rsidR="00000000" w:rsidRPr="00000000">
      <w:rPr>
        <w:b w:val="1"/>
        <w:sz w:val="16"/>
        <w:szCs w:val="16"/>
        <w:rtl w:val="0"/>
      </w:rPr>
      <w:t xml:space="preserve">026/2025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–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Protocolo n.º 240.000000771-0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71121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0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5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79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dlf0TdDWIWC3BCoQsF9asKP0jQ==">CgMxLjAyDmguOTA3YzZlcmlsOGlmOAByITFPSnJrQ1BmWUoyLWNFbFVveFZWOG1JY0o3QzZXdWp3Sg==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2025-07-21T17:13:00Z</dcterms:created>
  <dc:creator>DPE-PR</dc:creator>
</cp:coreProperties>
</file>